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BC" w:rsidRPr="00F04146" w:rsidRDefault="00201CBC" w:rsidP="00201CBC">
      <w:pPr>
        <w:rPr>
          <w:b/>
        </w:rPr>
      </w:pPr>
      <w:bookmarkStart w:id="0" w:name="_GoBack"/>
      <w:r w:rsidRPr="00F04146">
        <w:rPr>
          <w:b/>
        </w:rPr>
        <w:t>Appendix</w:t>
      </w:r>
      <w:bookmarkEnd w:id="0"/>
      <w:r w:rsidRPr="00F04146">
        <w:rPr>
          <w:b/>
        </w:rPr>
        <w:t xml:space="preserve"> 1: Product formation formulation</w:t>
      </w:r>
    </w:p>
    <w:p w:rsidR="00201CBC" w:rsidRDefault="00201CBC" w:rsidP="00201CBC"/>
    <w:p w:rsidR="00201CBC" w:rsidRDefault="00201CBC" w:rsidP="00201CBC">
      <w:pPr>
        <w:spacing w:line="480" w:lineRule="auto"/>
        <w:jc w:val="both"/>
      </w:pPr>
      <w:r>
        <w:t xml:space="preserve">Although the product formation rate (inverse of </w:t>
      </w:r>
      <w:r w:rsidRPr="00F04146">
        <w:t>product</w:t>
      </w:r>
      <w:r>
        <w:t xml:space="preserve"> formation time) is different in different regions (G, A or GGG), the probability density </w:t>
      </w:r>
      <w:r w:rsidRPr="003F6B8E">
        <w:t>function (|</w:t>
      </w:r>
      <w:r w:rsidRPr="003F6B8E">
        <w:rPr>
          <w:rFonts w:cs="Times New Roman"/>
        </w:rPr>
        <w:t>ψ|</w:t>
      </w:r>
      <w:r w:rsidRPr="003F6B8E">
        <w:rPr>
          <w:rFonts w:cs="Times New Roman"/>
          <w:vertAlign w:val="superscript"/>
        </w:rPr>
        <w:t>2</w:t>
      </w:r>
      <w:r w:rsidRPr="003F6B8E">
        <w:t>)</w:t>
      </w:r>
      <w:r>
        <w:t xml:space="preserve"> will decay at a rate depending on the overall product formation rate of the whole structure. Let the average time constant for product formation is </w:t>
      </w:r>
      <w:proofErr w:type="spellStart"/>
      <w:r w:rsidRPr="00A847AF">
        <w:t>τ</w:t>
      </w:r>
      <w:r>
        <w:rPr>
          <w:vertAlign w:val="subscript"/>
        </w:rPr>
        <w:t>C</w:t>
      </w:r>
      <w:proofErr w:type="spellEnd"/>
      <w:r>
        <w:t xml:space="preserve">, then the product formation rate for different regions should be proportional to the probability of existence of hole </w:t>
      </w:r>
      <w:r w:rsidRPr="00687A48">
        <w:t>(includes hole formation and decay)</w:t>
      </w:r>
      <w:r>
        <w:t xml:space="preserve"> in that region and inversely proportional to the product formation time.  Hence,</w:t>
      </w:r>
    </w:p>
    <w:p w:rsidR="00201CBC" w:rsidRPr="00A847AF" w:rsidRDefault="00201CBC" w:rsidP="00201CBC">
      <w:pPr>
        <w:spacing w:line="480" w:lineRule="auto"/>
        <w:jc w:val="both"/>
      </w:pPr>
      <w:proofErr w:type="spellStart"/>
      <w:proofErr w:type="gramStart"/>
      <w:r>
        <w:t>d</w:t>
      </w:r>
      <w:r w:rsidRPr="00A847AF">
        <w:t>P</w:t>
      </w:r>
      <w:r w:rsidRPr="00A847AF">
        <w:rPr>
          <w:vertAlign w:val="subscript"/>
        </w:rPr>
        <w:t>G</w:t>
      </w:r>
      <w:proofErr w:type="spellEnd"/>
      <w:r>
        <w:t>/</w:t>
      </w:r>
      <w:proofErr w:type="spellStart"/>
      <w:r>
        <w:t>dt</w:t>
      </w:r>
      <w:proofErr w:type="spellEnd"/>
      <w:proofErr w:type="gramEnd"/>
      <w:r>
        <w:t xml:space="preserve"> </w:t>
      </w:r>
      <w:r w:rsidRPr="00A847AF">
        <w:t>=</w:t>
      </w:r>
      <w:r>
        <w:t xml:space="preserve">  B </w:t>
      </w:r>
      <w:r w:rsidRPr="00A847AF">
        <w:t>α</w:t>
      </w:r>
      <w:r w:rsidRPr="00A847AF">
        <w:rPr>
          <w:vertAlign w:val="subscript"/>
        </w:rPr>
        <w:t>G</w:t>
      </w:r>
      <w:r>
        <w:t xml:space="preserve"> </w:t>
      </w:r>
      <w:proofErr w:type="spellStart"/>
      <w:r>
        <w:t>exp</w:t>
      </w:r>
      <w:proofErr w:type="spellEnd"/>
      <w:r>
        <w:t>(-t</w:t>
      </w:r>
      <w:r w:rsidRPr="00A847AF">
        <w:t>/</w:t>
      </w:r>
      <w:proofErr w:type="spellStart"/>
      <w:r w:rsidRPr="00A847AF">
        <w:t>τ</w:t>
      </w:r>
      <w:r>
        <w:rPr>
          <w:vertAlign w:val="subscript"/>
        </w:rPr>
        <w:t>C</w:t>
      </w:r>
      <w:proofErr w:type="spellEnd"/>
      <w:r>
        <w:t>)/</w:t>
      </w:r>
      <w:proofErr w:type="spellStart"/>
      <w:r>
        <w:rPr>
          <w:rFonts w:cs="Times New Roman"/>
        </w:rPr>
        <w:t>τ</w:t>
      </w:r>
      <w:r>
        <w:rPr>
          <w:vertAlign w:val="subscript"/>
        </w:rPr>
        <w:t>GC</w:t>
      </w:r>
      <w:proofErr w:type="spellEnd"/>
      <w:r>
        <w:t xml:space="preserve">                 …. (A8)</w:t>
      </w:r>
    </w:p>
    <w:p w:rsidR="00201CBC" w:rsidRPr="003E4C33" w:rsidRDefault="00201CBC" w:rsidP="00201CBC">
      <w:pPr>
        <w:spacing w:line="480" w:lineRule="auto"/>
        <w:jc w:val="both"/>
      </w:pPr>
      <w:proofErr w:type="spellStart"/>
      <w:proofErr w:type="gramStart"/>
      <w:r>
        <w:t>d</w:t>
      </w:r>
      <w:r w:rsidRPr="003E4C33">
        <w:t>P</w:t>
      </w:r>
      <w:r>
        <w:rPr>
          <w:vertAlign w:val="subscript"/>
        </w:rPr>
        <w:t>A</w:t>
      </w:r>
      <w:proofErr w:type="spellEnd"/>
      <w:r>
        <w:t>/</w:t>
      </w:r>
      <w:proofErr w:type="spellStart"/>
      <w:r>
        <w:t>dt</w:t>
      </w:r>
      <w:proofErr w:type="spellEnd"/>
      <w:proofErr w:type="gramEnd"/>
      <w:r>
        <w:t xml:space="preserve"> </w:t>
      </w:r>
      <w:r w:rsidRPr="003E4C33">
        <w:t>=</w:t>
      </w:r>
      <w:r>
        <w:t xml:space="preserve"> B </w:t>
      </w:r>
      <w:r w:rsidRPr="003E4C33">
        <w:t>α</w:t>
      </w:r>
      <w:r>
        <w:rPr>
          <w:vertAlign w:val="subscript"/>
        </w:rPr>
        <w:t>A</w:t>
      </w:r>
      <w:r>
        <w:t xml:space="preserve"> </w:t>
      </w:r>
      <w:proofErr w:type="spellStart"/>
      <w:r>
        <w:t>exp</w:t>
      </w:r>
      <w:proofErr w:type="spellEnd"/>
      <w:r>
        <w:t>(-t</w:t>
      </w:r>
      <w:r w:rsidRPr="003E4C33">
        <w:t>/</w:t>
      </w:r>
      <w:proofErr w:type="spellStart"/>
      <w:r w:rsidRPr="003E4C33">
        <w:t>τ</w:t>
      </w:r>
      <w:r>
        <w:rPr>
          <w:vertAlign w:val="subscript"/>
        </w:rPr>
        <w:t>C</w:t>
      </w:r>
      <w:proofErr w:type="spellEnd"/>
      <w:r>
        <w:t>)/</w:t>
      </w:r>
      <w:r w:rsidRPr="007C396B">
        <w:rPr>
          <w:rFonts w:cs="Times New Roman"/>
        </w:rPr>
        <w:t xml:space="preserve"> </w:t>
      </w:r>
      <w:proofErr w:type="spellStart"/>
      <w:r>
        <w:rPr>
          <w:rFonts w:cs="Times New Roman"/>
        </w:rPr>
        <w:t>τ</w:t>
      </w:r>
      <w:r>
        <w:rPr>
          <w:vertAlign w:val="subscript"/>
        </w:rPr>
        <w:t>AC</w:t>
      </w:r>
      <w:proofErr w:type="spellEnd"/>
      <w:r>
        <w:t xml:space="preserve">          ….. (A9)</w:t>
      </w:r>
    </w:p>
    <w:p w:rsidR="00201CBC" w:rsidRDefault="00201CBC" w:rsidP="00201CBC">
      <w:pPr>
        <w:spacing w:line="480" w:lineRule="auto"/>
        <w:jc w:val="both"/>
      </w:pPr>
      <w:proofErr w:type="spellStart"/>
      <w:proofErr w:type="gramStart"/>
      <w:r>
        <w:t>d</w:t>
      </w:r>
      <w:r w:rsidRPr="003E4C33">
        <w:t>P</w:t>
      </w:r>
      <w:r w:rsidRPr="003E4C33">
        <w:rPr>
          <w:vertAlign w:val="subscript"/>
        </w:rPr>
        <w:t>G</w:t>
      </w:r>
      <w:r>
        <w:rPr>
          <w:vertAlign w:val="subscript"/>
        </w:rPr>
        <w:t>GG</w:t>
      </w:r>
      <w:proofErr w:type="spellEnd"/>
      <w:r>
        <w:t>/</w:t>
      </w:r>
      <w:proofErr w:type="spellStart"/>
      <w:r>
        <w:t>dt</w:t>
      </w:r>
      <w:proofErr w:type="spellEnd"/>
      <w:proofErr w:type="gramEnd"/>
      <w:r>
        <w:t xml:space="preserve"> </w:t>
      </w:r>
      <w:r w:rsidRPr="003E4C33">
        <w:t>=</w:t>
      </w:r>
      <w:r>
        <w:t xml:space="preserve"> B </w:t>
      </w:r>
      <w:r w:rsidRPr="003E4C33">
        <w:t>α</w:t>
      </w:r>
      <w:r w:rsidRPr="003E4C33">
        <w:rPr>
          <w:vertAlign w:val="subscript"/>
        </w:rPr>
        <w:t>G</w:t>
      </w:r>
      <w:r>
        <w:rPr>
          <w:vertAlign w:val="subscript"/>
        </w:rPr>
        <w:t>GG</w:t>
      </w:r>
      <w:r>
        <w:t xml:space="preserve"> </w:t>
      </w:r>
      <w:proofErr w:type="spellStart"/>
      <w:r>
        <w:t>exp</w:t>
      </w:r>
      <w:proofErr w:type="spellEnd"/>
      <w:r>
        <w:t>(-t</w:t>
      </w:r>
      <w:r w:rsidRPr="003E4C33">
        <w:t>/</w:t>
      </w:r>
      <w:proofErr w:type="spellStart"/>
      <w:r w:rsidRPr="003E4C33">
        <w:t>τ</w:t>
      </w:r>
      <w:r>
        <w:rPr>
          <w:vertAlign w:val="subscript"/>
        </w:rPr>
        <w:t>C</w:t>
      </w:r>
      <w:proofErr w:type="spellEnd"/>
      <w:r>
        <w:t>)</w:t>
      </w:r>
      <w:r w:rsidRPr="007C396B">
        <w:rPr>
          <w:rFonts w:cs="Times New Roman"/>
        </w:rPr>
        <w:t xml:space="preserve"> </w:t>
      </w:r>
      <w:r>
        <w:rPr>
          <w:rFonts w:cs="Times New Roman"/>
        </w:rPr>
        <w:t>/</w:t>
      </w:r>
      <w:proofErr w:type="spellStart"/>
      <w:r>
        <w:rPr>
          <w:rFonts w:cs="Times New Roman"/>
        </w:rPr>
        <w:t>τ</w:t>
      </w:r>
      <w:r>
        <w:rPr>
          <w:vertAlign w:val="subscript"/>
        </w:rPr>
        <w:t>GGGC</w:t>
      </w:r>
      <w:proofErr w:type="spellEnd"/>
      <w:r>
        <w:t xml:space="preserve">    ….. (A10)</w:t>
      </w:r>
    </w:p>
    <w:p w:rsidR="00201CBC" w:rsidRDefault="00201CBC" w:rsidP="00201CBC">
      <w:pPr>
        <w:spacing w:line="480" w:lineRule="auto"/>
        <w:jc w:val="both"/>
      </w:pPr>
      <w:r>
        <w:t xml:space="preserve">Here, </w:t>
      </w:r>
      <w:r w:rsidRPr="00336532">
        <w:t>P</w:t>
      </w:r>
      <w:r w:rsidRPr="00336532">
        <w:rPr>
          <w:vertAlign w:val="subscript"/>
        </w:rPr>
        <w:t>X</w:t>
      </w:r>
      <w:r w:rsidRPr="00336532">
        <w:t xml:space="preserve"> represents the probability of product formation, </w:t>
      </w:r>
      <w:r w:rsidRPr="00687A48">
        <w:rPr>
          <w:rFonts w:cs="Times New Roman"/>
        </w:rPr>
        <w:t>α</w:t>
      </w:r>
      <w:r w:rsidRPr="00687A48">
        <w:rPr>
          <w:vertAlign w:val="subscript"/>
        </w:rPr>
        <w:t>X</w:t>
      </w:r>
      <w:r w:rsidRPr="00687A48">
        <w:t xml:space="preserve"> is the probability of hole formation,</w:t>
      </w:r>
      <w:r>
        <w:t xml:space="preserve"> i.e., integral of </w:t>
      </w:r>
      <w:r w:rsidRPr="00D44D7E">
        <w:t>the normalized wavefunction|</w:t>
      </w:r>
      <w:r w:rsidRPr="00D44D7E">
        <w:rPr>
          <w:rFonts w:cs="Times New Roman"/>
        </w:rPr>
        <w:t>ψ|</w:t>
      </w:r>
      <w:r w:rsidRPr="00D44D7E">
        <w:rPr>
          <w:rFonts w:cs="Times New Roman"/>
          <w:vertAlign w:val="superscript"/>
        </w:rPr>
        <w:t>2</w:t>
      </w:r>
      <w:r>
        <w:t xml:space="preserve">, </w:t>
      </w:r>
      <w:proofErr w:type="spellStart"/>
      <w:r>
        <w:rPr>
          <w:rFonts w:cs="Times New Roman"/>
        </w:rPr>
        <w:t>τ</w:t>
      </w:r>
      <w:r>
        <w:rPr>
          <w:vertAlign w:val="subscript"/>
        </w:rPr>
        <w:t>XC</w:t>
      </w:r>
      <w:proofErr w:type="spellEnd"/>
      <w:r>
        <w:t xml:space="preserve"> is the reaction time in any region X, where X= G, A or GGG, and B is a </w:t>
      </w:r>
      <w:r w:rsidRPr="00D44D7E">
        <w:t>proportionality</w:t>
      </w:r>
      <w:r w:rsidRPr="00C7616F">
        <w:t xml:space="preserve"> </w:t>
      </w:r>
      <w:r>
        <w:t xml:space="preserve">constant </w:t>
      </w:r>
      <w:r w:rsidRPr="00D44D7E">
        <w:t>that takes</w:t>
      </w:r>
      <w:r>
        <w:t xml:space="preserve"> into account the probability of existence of the wave function in the energy state under consideration. The expected value of </w:t>
      </w:r>
      <w:proofErr w:type="spellStart"/>
      <w:proofErr w:type="gramStart"/>
      <w:r w:rsidRPr="003E4C33">
        <w:t>τ</w:t>
      </w:r>
      <w:r>
        <w:rPr>
          <w:vertAlign w:val="subscript"/>
        </w:rPr>
        <w:t>C</w:t>
      </w:r>
      <w:proofErr w:type="spellEnd"/>
      <w:proofErr w:type="gramEnd"/>
      <w:r>
        <w:t xml:space="preserve"> can be calculated by taking weighted average of the reaction rates in different regions</w:t>
      </w:r>
    </w:p>
    <w:p w:rsidR="00201CBC" w:rsidRDefault="00201CBC" w:rsidP="00201CBC">
      <w:pPr>
        <w:spacing w:line="480" w:lineRule="auto"/>
        <w:jc w:val="both"/>
      </w:pPr>
      <w:r>
        <w:t xml:space="preserve"> 1/</w:t>
      </w:r>
      <w:r w:rsidRPr="00D459F7">
        <w:t xml:space="preserve"> </w:t>
      </w:r>
      <w:proofErr w:type="spellStart"/>
      <w:r w:rsidRPr="00A847AF">
        <w:t>τ</w:t>
      </w:r>
      <w:r>
        <w:rPr>
          <w:vertAlign w:val="subscript"/>
        </w:rPr>
        <w:t>C</w:t>
      </w:r>
      <w:proofErr w:type="spellEnd"/>
      <w:r>
        <w:t xml:space="preserve"> = </w:t>
      </w:r>
      <w:r w:rsidRPr="00A847AF">
        <w:t>α</w:t>
      </w:r>
      <w:r w:rsidRPr="00A847AF">
        <w:rPr>
          <w:vertAlign w:val="subscript"/>
        </w:rPr>
        <w:t>G</w:t>
      </w:r>
      <w:r>
        <w:t>/</w:t>
      </w:r>
      <w:r w:rsidRPr="00D459F7">
        <w:t xml:space="preserve"> </w:t>
      </w:r>
      <w:proofErr w:type="spellStart"/>
      <w:r w:rsidRPr="00A847AF">
        <w:t>τ</w:t>
      </w:r>
      <w:r w:rsidRPr="00A847AF">
        <w:rPr>
          <w:vertAlign w:val="subscript"/>
        </w:rPr>
        <w:t>G</w:t>
      </w:r>
      <w:r>
        <w:rPr>
          <w:vertAlign w:val="subscript"/>
        </w:rPr>
        <w:t>C</w:t>
      </w:r>
      <w:proofErr w:type="spellEnd"/>
      <w:r>
        <w:t xml:space="preserve"> + </w:t>
      </w:r>
      <w:r w:rsidRPr="00A847AF">
        <w:t>α</w:t>
      </w:r>
      <w:r>
        <w:rPr>
          <w:vertAlign w:val="subscript"/>
        </w:rPr>
        <w:t>A</w:t>
      </w:r>
      <w:r>
        <w:t>/</w:t>
      </w:r>
      <w:r w:rsidRPr="00D459F7">
        <w:t xml:space="preserve"> </w:t>
      </w:r>
      <w:proofErr w:type="spellStart"/>
      <w:r w:rsidRPr="00A847AF">
        <w:t>τ</w:t>
      </w:r>
      <w:r>
        <w:rPr>
          <w:vertAlign w:val="subscript"/>
        </w:rPr>
        <w:t>AC</w:t>
      </w:r>
      <w:proofErr w:type="spellEnd"/>
      <w:r>
        <w:t xml:space="preserve"> + </w:t>
      </w:r>
      <w:r w:rsidRPr="00A847AF">
        <w:t>α</w:t>
      </w:r>
      <w:r w:rsidRPr="00A847AF">
        <w:rPr>
          <w:vertAlign w:val="subscript"/>
        </w:rPr>
        <w:t>G</w:t>
      </w:r>
      <w:r>
        <w:rPr>
          <w:vertAlign w:val="subscript"/>
        </w:rPr>
        <w:t>GG</w:t>
      </w:r>
      <w:r>
        <w:t>/</w:t>
      </w:r>
      <w:r w:rsidRPr="00D459F7">
        <w:t xml:space="preserve"> </w:t>
      </w:r>
      <w:proofErr w:type="spellStart"/>
      <w:r w:rsidRPr="00A847AF">
        <w:t>τ</w:t>
      </w:r>
      <w:r w:rsidRPr="00A847AF">
        <w:rPr>
          <w:vertAlign w:val="subscript"/>
        </w:rPr>
        <w:t>G</w:t>
      </w:r>
      <w:r>
        <w:rPr>
          <w:vertAlign w:val="subscript"/>
        </w:rPr>
        <w:t>GGC</w:t>
      </w:r>
      <w:proofErr w:type="spellEnd"/>
      <w:r>
        <w:tab/>
        <w:t>………</w:t>
      </w:r>
      <w:proofErr w:type="gramStart"/>
      <w:r>
        <w:t>.(</w:t>
      </w:r>
      <w:proofErr w:type="gramEnd"/>
      <w:r>
        <w:t>A11)</w:t>
      </w:r>
    </w:p>
    <w:p w:rsidR="00201CBC" w:rsidRPr="00D467FA" w:rsidRDefault="00201CBC" w:rsidP="00201CBC">
      <w:pPr>
        <w:spacing w:line="480" w:lineRule="auto"/>
        <w:ind w:firstLine="720"/>
        <w:jc w:val="both"/>
      </w:pPr>
      <w:r w:rsidRPr="00C72AF1">
        <w:t xml:space="preserve">It may be mentioned here that </w:t>
      </w:r>
      <w:proofErr w:type="gramStart"/>
      <w:r w:rsidRPr="00C72AF1">
        <w:t>α</w:t>
      </w:r>
      <w:r w:rsidRPr="00C72AF1">
        <w:rPr>
          <w:vertAlign w:val="subscript"/>
        </w:rPr>
        <w:t>G</w:t>
      </w:r>
      <w:proofErr w:type="gramEnd"/>
      <w:r w:rsidRPr="00C72AF1">
        <w:t xml:space="preserve"> + α</w:t>
      </w:r>
      <w:r w:rsidRPr="00C72AF1">
        <w:rPr>
          <w:vertAlign w:val="subscript"/>
        </w:rPr>
        <w:t>A</w:t>
      </w:r>
      <w:r w:rsidRPr="00C72AF1">
        <w:t xml:space="preserve"> + α</w:t>
      </w:r>
      <w:r w:rsidRPr="00C72AF1">
        <w:rPr>
          <w:vertAlign w:val="subscript"/>
        </w:rPr>
        <w:t>GGG</w:t>
      </w:r>
      <w:r w:rsidRPr="00C72AF1">
        <w:t xml:space="preserve"> = 1 (as normalized </w:t>
      </w:r>
      <w:proofErr w:type="spellStart"/>
      <w:r w:rsidRPr="00C72AF1">
        <w:t>wavefunction</w:t>
      </w:r>
      <w:proofErr w:type="spellEnd"/>
      <w:r w:rsidRPr="00C72AF1">
        <w:t xml:space="preserve"> is used)</w:t>
      </w:r>
    </w:p>
    <w:p w:rsidR="00201CBC" w:rsidRDefault="00201CBC" w:rsidP="00201CBC">
      <w:pPr>
        <w:spacing w:line="480" w:lineRule="auto"/>
        <w:jc w:val="both"/>
      </w:pPr>
      <w:r>
        <w:t xml:space="preserve">Let </w:t>
      </w:r>
      <w:r>
        <w:rPr>
          <w:rFonts w:cs="Times New Roman"/>
        </w:rPr>
        <w:t>τ</w:t>
      </w:r>
      <w:r>
        <w:t xml:space="preserve"> be the expected life time of the wave function (due to inelastic scattering). Then the probability of product formation P</w:t>
      </w:r>
      <w:r>
        <w:rPr>
          <w:vertAlign w:val="subscript"/>
        </w:rPr>
        <w:t>X</w:t>
      </w:r>
      <w:r>
        <w:t xml:space="preserve"> can be obtained by integrating the eq.A8 to A10 over a time period of 0 to </w:t>
      </w:r>
      <w:r>
        <w:rPr>
          <w:rFonts w:cs="Times New Roman"/>
        </w:rPr>
        <w:t>τ</w:t>
      </w:r>
      <w:r>
        <w:t xml:space="preserve">. The final result after integration is given by </w:t>
      </w:r>
    </w:p>
    <w:p w:rsidR="00201CBC" w:rsidRPr="00A847AF" w:rsidRDefault="00201CBC" w:rsidP="00201CBC">
      <w:pPr>
        <w:spacing w:line="480" w:lineRule="auto"/>
        <w:jc w:val="both"/>
      </w:pPr>
      <w:r w:rsidRPr="00A847AF">
        <w:t>P</w:t>
      </w:r>
      <w:r w:rsidRPr="00A847AF">
        <w:rPr>
          <w:vertAlign w:val="subscript"/>
        </w:rPr>
        <w:t>G</w:t>
      </w:r>
      <w:r>
        <w:t xml:space="preserve"> </w:t>
      </w:r>
      <w:r w:rsidRPr="00A847AF">
        <w:t>=</w:t>
      </w:r>
      <w:r>
        <w:t xml:space="preserve"> B </w:t>
      </w:r>
      <w:r w:rsidRPr="00A847AF">
        <w:t>α</w:t>
      </w:r>
      <w:r w:rsidRPr="00A847AF">
        <w:rPr>
          <w:vertAlign w:val="subscript"/>
        </w:rPr>
        <w:t>G</w:t>
      </w:r>
      <w:r w:rsidRPr="00A33519">
        <w:t xml:space="preserve"> </w:t>
      </w:r>
      <w:proofErr w:type="spellStart"/>
      <w:r w:rsidRPr="00A847AF">
        <w:t>τ</w:t>
      </w:r>
      <w:r>
        <w:rPr>
          <w:vertAlign w:val="subscript"/>
        </w:rPr>
        <w:t>C</w:t>
      </w:r>
      <w:proofErr w:type="spellEnd"/>
      <w:r>
        <w:t xml:space="preserve"> (1- </w:t>
      </w:r>
      <w:proofErr w:type="spellStart"/>
      <w:proofErr w:type="gramStart"/>
      <w:r>
        <w:t>exp</w:t>
      </w:r>
      <w:proofErr w:type="spellEnd"/>
      <w:r>
        <w:t>(</w:t>
      </w:r>
      <w:proofErr w:type="gramEnd"/>
      <w:r>
        <w:t>-</w:t>
      </w:r>
      <w:r w:rsidRPr="00A847AF">
        <w:t>τ/</w:t>
      </w:r>
      <w:proofErr w:type="spellStart"/>
      <w:r w:rsidRPr="00A847AF">
        <w:t>τ</w:t>
      </w:r>
      <w:r>
        <w:rPr>
          <w:vertAlign w:val="subscript"/>
        </w:rPr>
        <w:t>C</w:t>
      </w:r>
      <w:proofErr w:type="spellEnd"/>
      <w:r>
        <w:t>))/</w:t>
      </w:r>
      <w:proofErr w:type="spellStart"/>
      <w:r>
        <w:rPr>
          <w:rFonts w:cs="Times New Roman"/>
        </w:rPr>
        <w:t>τ</w:t>
      </w:r>
      <w:r>
        <w:rPr>
          <w:vertAlign w:val="subscript"/>
        </w:rPr>
        <w:t>GC</w:t>
      </w:r>
      <w:proofErr w:type="spellEnd"/>
      <w:r>
        <w:t xml:space="preserve">                 …. (A12)</w:t>
      </w:r>
    </w:p>
    <w:p w:rsidR="00201CBC" w:rsidRPr="003E4C33" w:rsidRDefault="00201CBC" w:rsidP="00201CBC">
      <w:pPr>
        <w:spacing w:line="480" w:lineRule="auto"/>
        <w:jc w:val="both"/>
      </w:pPr>
      <w:r w:rsidRPr="003E4C33">
        <w:t>P</w:t>
      </w:r>
      <w:r>
        <w:rPr>
          <w:vertAlign w:val="subscript"/>
        </w:rPr>
        <w:t>A</w:t>
      </w:r>
      <w:r>
        <w:t xml:space="preserve"> </w:t>
      </w:r>
      <w:r w:rsidRPr="003E4C33">
        <w:t>=</w:t>
      </w:r>
      <w:r>
        <w:t xml:space="preserve"> B </w:t>
      </w:r>
      <w:r w:rsidRPr="003E4C33">
        <w:t>α</w:t>
      </w:r>
      <w:r>
        <w:rPr>
          <w:vertAlign w:val="subscript"/>
        </w:rPr>
        <w:t>A</w:t>
      </w:r>
      <w:r>
        <w:t xml:space="preserve"> </w:t>
      </w:r>
      <w:proofErr w:type="spellStart"/>
      <w:r w:rsidRPr="00A847AF">
        <w:t>τ</w:t>
      </w:r>
      <w:r>
        <w:rPr>
          <w:vertAlign w:val="subscript"/>
        </w:rPr>
        <w:t>C</w:t>
      </w:r>
      <w:proofErr w:type="spellEnd"/>
      <w:r>
        <w:rPr>
          <w:vertAlign w:val="subscript"/>
        </w:rPr>
        <w:t xml:space="preserve"> </w:t>
      </w:r>
      <w:r>
        <w:t>(1-</w:t>
      </w:r>
      <w:proofErr w:type="gramStart"/>
      <w:r>
        <w:t>exp(</w:t>
      </w:r>
      <w:proofErr w:type="gramEnd"/>
      <w:r>
        <w:t>-</w:t>
      </w:r>
      <w:r w:rsidRPr="00A847AF">
        <w:t>τ</w:t>
      </w:r>
      <w:r w:rsidRPr="003E4C33">
        <w:t>/</w:t>
      </w:r>
      <w:proofErr w:type="spellStart"/>
      <w:r w:rsidRPr="003E4C33">
        <w:t>τ</w:t>
      </w:r>
      <w:r>
        <w:rPr>
          <w:vertAlign w:val="subscript"/>
        </w:rPr>
        <w:t>C</w:t>
      </w:r>
      <w:proofErr w:type="spellEnd"/>
      <w:r>
        <w:t>))/</w:t>
      </w:r>
      <w:proofErr w:type="spellStart"/>
      <w:r>
        <w:rPr>
          <w:rFonts w:cs="Times New Roman"/>
        </w:rPr>
        <w:t>τ</w:t>
      </w:r>
      <w:r>
        <w:rPr>
          <w:vertAlign w:val="subscript"/>
        </w:rPr>
        <w:t>AC</w:t>
      </w:r>
      <w:proofErr w:type="spellEnd"/>
      <w:r>
        <w:t xml:space="preserve">          ….. (A13)</w:t>
      </w:r>
    </w:p>
    <w:p w:rsidR="00E13326" w:rsidRDefault="00201CBC" w:rsidP="00201CBC">
      <w:pPr>
        <w:spacing w:line="480" w:lineRule="auto"/>
        <w:jc w:val="both"/>
      </w:pPr>
      <w:r w:rsidRPr="003E4C33">
        <w:t>P</w:t>
      </w:r>
      <w:r w:rsidRPr="003E4C33">
        <w:rPr>
          <w:vertAlign w:val="subscript"/>
        </w:rPr>
        <w:t>G</w:t>
      </w:r>
      <w:r>
        <w:rPr>
          <w:vertAlign w:val="subscript"/>
        </w:rPr>
        <w:t>GG</w:t>
      </w:r>
      <w:r>
        <w:t xml:space="preserve"> </w:t>
      </w:r>
      <w:r w:rsidRPr="003E4C33">
        <w:t>=</w:t>
      </w:r>
      <w:r>
        <w:t xml:space="preserve"> B </w:t>
      </w:r>
      <w:r w:rsidRPr="003E4C33">
        <w:t>α</w:t>
      </w:r>
      <w:r w:rsidRPr="003E4C33">
        <w:rPr>
          <w:vertAlign w:val="subscript"/>
        </w:rPr>
        <w:t>G</w:t>
      </w:r>
      <w:r>
        <w:rPr>
          <w:vertAlign w:val="subscript"/>
        </w:rPr>
        <w:t>GG</w:t>
      </w:r>
      <w:r>
        <w:t xml:space="preserve"> </w:t>
      </w:r>
      <w:proofErr w:type="spellStart"/>
      <w:r w:rsidRPr="00A847AF">
        <w:t>τ</w:t>
      </w:r>
      <w:r>
        <w:rPr>
          <w:vertAlign w:val="subscript"/>
        </w:rPr>
        <w:t>C</w:t>
      </w:r>
      <w:proofErr w:type="spellEnd"/>
      <w:r>
        <w:rPr>
          <w:vertAlign w:val="subscript"/>
        </w:rPr>
        <w:t xml:space="preserve"> </w:t>
      </w:r>
      <w:r>
        <w:t>(1-</w:t>
      </w:r>
      <w:proofErr w:type="gramStart"/>
      <w:r>
        <w:t>exp(</w:t>
      </w:r>
      <w:proofErr w:type="gramEnd"/>
      <w:r>
        <w:t>-</w:t>
      </w:r>
      <w:r w:rsidRPr="00A847AF">
        <w:t>τ</w:t>
      </w:r>
      <w:r w:rsidRPr="003E4C33">
        <w:t>/</w:t>
      </w:r>
      <w:proofErr w:type="spellStart"/>
      <w:r w:rsidRPr="003E4C33">
        <w:t>τ</w:t>
      </w:r>
      <w:r>
        <w:rPr>
          <w:vertAlign w:val="subscript"/>
        </w:rPr>
        <w:t>C</w:t>
      </w:r>
      <w:proofErr w:type="spellEnd"/>
      <w:r>
        <w:t>))</w:t>
      </w:r>
      <w:r>
        <w:rPr>
          <w:rFonts w:cs="Times New Roman"/>
        </w:rPr>
        <w:t>/</w:t>
      </w:r>
      <w:proofErr w:type="spellStart"/>
      <w:r>
        <w:rPr>
          <w:rFonts w:cs="Times New Roman"/>
        </w:rPr>
        <w:t>τ</w:t>
      </w:r>
      <w:r>
        <w:rPr>
          <w:vertAlign w:val="subscript"/>
        </w:rPr>
        <w:t>GGGC</w:t>
      </w:r>
      <w:proofErr w:type="spellEnd"/>
      <w:r>
        <w:t xml:space="preserve">    ….. (A14)</w:t>
      </w:r>
    </w:p>
    <w:sectPr w:rsidR="00E13326" w:rsidSect="00A82876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F0" w:rsidRDefault="00201CB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619F0" w:rsidRDefault="00201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BC"/>
    <w:rsid w:val="0017051E"/>
    <w:rsid w:val="00201CBC"/>
    <w:rsid w:val="004821C6"/>
    <w:rsid w:val="00E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15435-5D68-44C8-B7FD-64834C6E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CBC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CBC"/>
    <w:rPr>
      <w:rFonts w:ascii="Times New Roman" w:eastAsia="Times New Roman" w:hAnsi="Times New Roman" w:cs="Arial"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PC-039</dc:creator>
  <cp:keywords/>
  <dc:description/>
  <cp:lastModifiedBy>PC-039</cp:lastModifiedBy>
  <cp:revision>1</cp:revision>
  <dcterms:created xsi:type="dcterms:W3CDTF">2020-03-28T07:36:00Z</dcterms:created>
  <dcterms:modified xsi:type="dcterms:W3CDTF">2020-03-28T07:36:00Z</dcterms:modified>
</cp:coreProperties>
</file>